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rPr>
      </w:pPr>
      <w:r>
        <w:rPr>
          <w:rFonts w:hint="eastAsia" w:ascii="仿宋" w:hAnsi="仿宋" w:eastAsia="仿宋" w:cs="仿宋"/>
        </w:rPr>
        <w:t xml:space="preserve"> </w:t>
      </w:r>
    </w:p>
    <w:p>
      <w:pPr>
        <w:rPr>
          <w:rFonts w:ascii="仿宋" w:hAnsi="仿宋" w:eastAsia="仿宋" w:cs="仿宋"/>
        </w:rPr>
      </w:pPr>
    </w:p>
    <w:p>
      <w:pPr>
        <w:rPr>
          <w:rFonts w:ascii="仿宋" w:hAnsi="仿宋" w:eastAsia="仿宋" w:cs="仿宋"/>
          <w:b/>
          <w:bCs/>
          <w:sz w:val="36"/>
          <w:szCs w:val="36"/>
        </w:rPr>
      </w:pPr>
    </w:p>
    <w:p>
      <w:pPr>
        <w:jc w:val="center"/>
        <w:rPr>
          <w:rFonts w:ascii="仿宋" w:hAnsi="仿宋" w:eastAsia="仿宋" w:cs="仿宋"/>
          <w:b/>
          <w:bCs/>
          <w:sz w:val="52"/>
          <w:szCs w:val="52"/>
        </w:rPr>
      </w:pPr>
    </w:p>
    <w:p>
      <w:pPr>
        <w:jc w:val="center"/>
        <w:rPr>
          <w:rFonts w:hint="eastAsia" w:ascii="仿宋" w:hAnsi="仿宋" w:eastAsia="仿宋" w:cs="仿宋"/>
          <w:b/>
          <w:bCs/>
          <w:sz w:val="52"/>
          <w:szCs w:val="52"/>
          <w:lang w:eastAsia="zh-CN"/>
        </w:rPr>
      </w:pPr>
      <w:r>
        <w:rPr>
          <w:rFonts w:hint="eastAsia" w:ascii="仿宋" w:hAnsi="仿宋" w:eastAsia="仿宋" w:cs="仿宋"/>
          <w:b/>
          <w:bCs/>
          <w:sz w:val="52"/>
          <w:szCs w:val="52"/>
          <w:lang w:eastAsia="zh-CN"/>
        </w:rPr>
        <w:t>江西欧迈斯微电子有限公司</w:t>
      </w:r>
    </w:p>
    <w:p>
      <w:pPr>
        <w:jc w:val="center"/>
        <w:rPr>
          <w:rFonts w:ascii="仿宋" w:hAnsi="仿宋" w:eastAsia="仿宋" w:cs="仿宋"/>
          <w:b/>
          <w:bCs/>
          <w:sz w:val="52"/>
          <w:szCs w:val="52"/>
        </w:rPr>
      </w:pPr>
      <w:r>
        <w:rPr>
          <w:rFonts w:hint="eastAsia" w:ascii="仿宋" w:hAnsi="仿宋" w:eastAsia="仿宋" w:cs="仿宋"/>
          <w:b/>
          <w:bCs/>
          <w:sz w:val="52"/>
          <w:szCs w:val="52"/>
        </w:rPr>
        <w:t>突发环境事件应急预案编制说明</w:t>
      </w:r>
    </w:p>
    <w:p>
      <w:pPr>
        <w:jc w:val="cente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b/>
          <w:bCs/>
          <w:sz w:val="32"/>
          <w:szCs w:val="32"/>
        </w:rPr>
      </w:pPr>
    </w:p>
    <w:p>
      <w:pPr>
        <w:jc w:val="center"/>
        <w:rPr>
          <w:rFonts w:ascii="仿宋" w:hAnsi="仿宋" w:eastAsia="仿宋" w:cs="仿宋"/>
          <w:b/>
          <w:bCs/>
          <w:sz w:val="32"/>
          <w:szCs w:val="32"/>
        </w:rPr>
      </w:pPr>
    </w:p>
    <w:p>
      <w:pPr>
        <w:jc w:val="cente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江西欧迈斯微电子有限公司</w:t>
      </w:r>
    </w:p>
    <w:p>
      <w:pPr>
        <w:jc w:val="center"/>
        <w:rPr>
          <w:rFonts w:ascii="仿宋" w:hAnsi="仿宋" w:eastAsia="仿宋" w:cs="仿宋"/>
          <w:b/>
          <w:bCs/>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32"/>
          <w:szCs w:val="32"/>
        </w:rPr>
        <w:t>二〇二〇年</w:t>
      </w:r>
      <w:r>
        <w:rPr>
          <w:rFonts w:hint="eastAsia" w:ascii="仿宋" w:hAnsi="仿宋" w:eastAsia="仿宋" w:cs="仿宋"/>
          <w:b/>
          <w:bCs/>
          <w:sz w:val="32"/>
          <w:szCs w:val="32"/>
          <w:lang w:val="en-US" w:eastAsia="zh-CN"/>
        </w:rPr>
        <w:t>十二</w:t>
      </w:r>
      <w:r>
        <w:rPr>
          <w:rFonts w:hint="eastAsia" w:ascii="仿宋" w:hAnsi="仿宋" w:eastAsia="仿宋" w:cs="仿宋"/>
          <w:b/>
          <w:bCs/>
          <w:sz w:val="32"/>
          <w:szCs w:val="32"/>
        </w:rPr>
        <w:t>月</w:t>
      </w:r>
    </w:p>
    <w:p>
      <w:pPr>
        <w:jc w:val="center"/>
        <w:rPr>
          <w:rFonts w:ascii="仿宋" w:hAnsi="仿宋" w:eastAsia="仿宋" w:cs="仿宋"/>
          <w:b/>
          <w:bCs/>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bidi w:val="0"/>
        <w:adjustRightInd w:val="0"/>
        <w:snapToGrid w:val="0"/>
        <w:spacing w:line="360" w:lineRule="auto"/>
        <w:ind w:firstLine="643" w:firstLineChars="200"/>
        <w:textAlignment w:val="auto"/>
        <w:rPr>
          <w:rFonts w:ascii="仿宋" w:hAnsi="仿宋" w:eastAsia="仿宋" w:cs="仿宋"/>
          <w:sz w:val="28"/>
          <w:szCs w:val="28"/>
        </w:rPr>
      </w:pPr>
      <w:bookmarkStart w:id="0" w:name="_GoBack"/>
      <w:r>
        <w:rPr>
          <w:rFonts w:hint="eastAsia" w:ascii="仿宋" w:hAnsi="仿宋" w:eastAsia="仿宋" w:cs="仿宋"/>
          <w:b/>
          <w:bCs/>
          <w:sz w:val="32"/>
          <w:szCs w:val="32"/>
        </w:rPr>
        <w:t>一、编制过程概述</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napToGrid w:val="0"/>
          <w:kern w:val="0"/>
          <w:sz w:val="28"/>
          <w:szCs w:val="28"/>
          <w:lang w:eastAsia="zh-CN"/>
        </w:rPr>
        <w:t>江西欧迈斯微电子有限公司位于南昌高新技术开发区天祥北大道699号，东经 116°03'0.76"，北纬 28°44'2.50"，厂区占地面积91240平方米，建设有年产3亿片指纹识别模组项目。原项目于2014年11月8日取得南昌市环保局环评批复（洪环审批 [2014]263 号），并于2015年9月投产。为提高产品质量和生产效率，公司</w:t>
      </w:r>
      <w:r>
        <w:rPr>
          <w:rFonts w:hint="eastAsia" w:ascii="仿宋" w:hAnsi="仿宋" w:eastAsia="仿宋" w:cs="仿宋"/>
          <w:snapToGrid w:val="0"/>
          <w:kern w:val="0"/>
          <w:sz w:val="28"/>
          <w:szCs w:val="28"/>
          <w:lang w:val="en-US" w:eastAsia="zh-CN"/>
        </w:rPr>
        <w:t>于2017年</w:t>
      </w:r>
      <w:r>
        <w:rPr>
          <w:rFonts w:hint="eastAsia" w:ascii="仿宋" w:hAnsi="仿宋" w:eastAsia="仿宋" w:cs="仿宋"/>
          <w:snapToGrid w:val="0"/>
          <w:kern w:val="0"/>
          <w:sz w:val="28"/>
          <w:szCs w:val="28"/>
          <w:lang w:eastAsia="zh-CN"/>
        </w:rPr>
        <w:t>对原项目（年产12000万指纹识别模组项目）进行</w:t>
      </w:r>
      <w:r>
        <w:rPr>
          <w:rFonts w:hint="eastAsia" w:ascii="仿宋" w:hAnsi="仿宋" w:eastAsia="仿宋" w:cs="仿宋"/>
          <w:snapToGrid w:val="0"/>
          <w:kern w:val="0"/>
          <w:sz w:val="28"/>
          <w:szCs w:val="28"/>
          <w:lang w:val="en-US" w:eastAsia="zh-CN"/>
        </w:rPr>
        <w:t>第一次</w:t>
      </w:r>
      <w:r>
        <w:rPr>
          <w:rFonts w:hint="eastAsia" w:ascii="仿宋" w:hAnsi="仿宋" w:eastAsia="仿宋" w:cs="仿宋"/>
          <w:snapToGrid w:val="0"/>
          <w:kern w:val="0"/>
          <w:sz w:val="28"/>
          <w:szCs w:val="28"/>
          <w:lang w:eastAsia="zh-CN"/>
        </w:rPr>
        <w:t>技术改造，</w:t>
      </w:r>
      <w:r>
        <w:rPr>
          <w:rFonts w:hint="eastAsia" w:ascii="仿宋" w:hAnsi="仿宋" w:eastAsia="仿宋" w:cs="仿宋"/>
          <w:color w:val="000000"/>
          <w:sz w:val="28"/>
          <w:szCs w:val="28"/>
        </w:rPr>
        <w:t>建设年产11880万片指纹识别模组项目</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并于2017年4月5日取得原南昌市环保局环评批复（洪环审批【2017】65号）</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于2018年1月31日完成对该项目的竣工环保自主验收</w:t>
      </w:r>
      <w:r>
        <w:rPr>
          <w:rFonts w:hint="eastAsia" w:ascii="仿宋" w:hAnsi="仿宋" w:eastAsia="仿宋" w:cs="仿宋"/>
          <w:snapToGrid w:val="0"/>
          <w:kern w:val="0"/>
          <w:sz w:val="28"/>
          <w:szCs w:val="28"/>
          <w:lang w:eastAsia="zh-CN"/>
        </w:rPr>
        <w:t>，</w:t>
      </w:r>
      <w:r>
        <w:rPr>
          <w:rFonts w:hint="eastAsia" w:ascii="仿宋" w:hAnsi="仿宋" w:eastAsia="仿宋" w:cs="仿宋"/>
          <w:color w:val="000000"/>
          <w:sz w:val="28"/>
          <w:szCs w:val="28"/>
        </w:rPr>
        <w:t>验收过程中建设单位实际建设内容比环评阶段新增了一条四涂四烤喷涂生产线，故实际建成后，喷涂工艺共5条生产线，其中1条三涂三烤（C线）、1条一涂一烤（B线）、3条四涂四烤（A、D、E线）</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为了适应市场，</w:t>
      </w:r>
      <w:r>
        <w:rPr>
          <w:rFonts w:hint="eastAsia" w:ascii="仿宋" w:hAnsi="仿宋" w:eastAsia="仿宋" w:cs="仿宋"/>
          <w:color w:val="000000"/>
          <w:sz w:val="28"/>
          <w:szCs w:val="28"/>
        </w:rPr>
        <w:t>建设单位现在对现有项目（年产11880万片指纹识别模组项目）进行第二次</w:t>
      </w:r>
      <w:r>
        <w:rPr>
          <w:rFonts w:hint="eastAsia" w:ascii="仿宋" w:hAnsi="仿宋" w:eastAsia="仿宋" w:cs="仿宋"/>
          <w:sz w:val="28"/>
          <w:szCs w:val="28"/>
        </w:rPr>
        <w:t>技改，主要技改内容包括：</w:t>
      </w:r>
    </w:p>
    <w:p>
      <w:pPr>
        <w:keepNext w:val="0"/>
        <w:keepLines w:val="0"/>
        <w:pageBreakBefore w:val="0"/>
        <w:widowControl w:val="0"/>
        <w:numPr>
          <w:ilvl w:val="0"/>
          <w:numId w:val="1"/>
        </w:numPr>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产能增加</w:t>
      </w:r>
    </w:p>
    <w:p>
      <w:pPr>
        <w:pStyle w:val="9"/>
        <w:keepNext w:val="0"/>
        <w:keepLines w:val="0"/>
        <w:pageBreakBefore w:val="0"/>
        <w:widowControl w:val="0"/>
        <w:kinsoku/>
        <w:wordWrap/>
        <w:overflowPunct/>
        <w:topLinePunct w:val="0"/>
        <w:bidi w:val="0"/>
        <w:adjustRightInd w:val="0"/>
        <w:snapToGrid w:val="0"/>
        <w:spacing w:line="360" w:lineRule="auto"/>
        <w:ind w:firstLine="480"/>
        <w:jc w:val="both"/>
        <w:textAlignment w:val="auto"/>
        <w:rPr>
          <w:rFonts w:hint="eastAsia" w:ascii="仿宋" w:hAnsi="仿宋" w:eastAsia="仿宋" w:cs="仿宋"/>
          <w:snapToGrid w:val="0"/>
          <w:kern w:val="0"/>
          <w:sz w:val="28"/>
          <w:szCs w:val="28"/>
          <w:lang w:val="en-US" w:eastAsia="zh-CN"/>
        </w:rPr>
      </w:pPr>
      <w:r>
        <w:rPr>
          <w:rFonts w:hint="eastAsia" w:ascii="仿宋" w:hAnsi="仿宋" w:eastAsia="仿宋" w:cs="仿宋"/>
          <w:color w:val="000000"/>
          <w:sz w:val="28"/>
          <w:szCs w:val="28"/>
        </w:rPr>
        <w:t>设计产能从年产11880万片指纹识别模组增加至年产3.5亿片指纹识别模组（coating指纹模组3亿片，侧边指纹模组0.5亿片），其中：A、C、D、E喷涂线各年产6750万片coating指纹识别模组，B喷涂线年产3000万片coating指纹识别模组（侧边指纹模组无需喷涂），同时利用园区内部生产的半成品在3#厂房的3F和4F进行0.5亿片侧边指纹模组组装、检验等生产</w:t>
      </w:r>
      <w:r>
        <w:rPr>
          <w:rFonts w:hint="eastAsia" w:ascii="仿宋" w:hAnsi="仿宋" w:eastAsia="仿宋" w:cs="仿宋"/>
          <w:snapToGrid w:val="0"/>
          <w:kern w:val="0"/>
          <w:sz w:val="28"/>
          <w:szCs w:val="28"/>
          <w:lang w:val="en-US" w:eastAsia="zh-CN"/>
        </w:rPr>
        <w:t>。</w:t>
      </w:r>
    </w:p>
    <w:p>
      <w:pPr>
        <w:keepNext w:val="0"/>
        <w:keepLines w:val="0"/>
        <w:pageBreakBefore w:val="0"/>
        <w:widowControl w:val="0"/>
        <w:numPr>
          <w:ilvl w:val="0"/>
          <w:numId w:val="1"/>
        </w:numPr>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b w:val="0"/>
          <w:bCs w:val="0"/>
          <w:color w:val="000000"/>
          <w:sz w:val="28"/>
          <w:szCs w:val="28"/>
        </w:rPr>
      </w:pPr>
      <w:r>
        <w:rPr>
          <w:rFonts w:hint="eastAsia" w:ascii="仿宋" w:hAnsi="仿宋" w:eastAsia="仿宋" w:cs="仿宋"/>
          <w:b w:val="0"/>
          <w:bCs w:val="0"/>
          <w:sz w:val="28"/>
          <w:szCs w:val="28"/>
        </w:rPr>
        <w:t>有机废气治理设施提升改</w:t>
      </w:r>
      <w:r>
        <w:rPr>
          <w:rFonts w:hint="eastAsia" w:ascii="仿宋" w:hAnsi="仿宋" w:eastAsia="仿宋" w:cs="仿宋"/>
          <w:b w:val="0"/>
          <w:bCs w:val="0"/>
          <w:color w:val="000000"/>
          <w:sz w:val="28"/>
          <w:szCs w:val="28"/>
        </w:rPr>
        <w:t>造</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由于产品产能增加，同时产品质量要求产品需喷涂的数量、面积更大，导致所需的原辅料种类及用量增多，有机废气主要污染物的产生量有较大增加。</w:t>
      </w:r>
      <w:r>
        <w:rPr>
          <w:rFonts w:hint="eastAsia" w:ascii="仿宋" w:hAnsi="仿宋" w:eastAsia="仿宋" w:cs="仿宋"/>
          <w:color w:val="000000"/>
          <w:sz w:val="28"/>
          <w:szCs w:val="28"/>
          <w:lang w:val="en-US" w:eastAsia="zh-CN"/>
        </w:rPr>
        <w:t>对</w:t>
      </w:r>
      <w:r>
        <w:rPr>
          <w:rFonts w:hint="eastAsia" w:ascii="仿宋" w:hAnsi="仿宋" w:eastAsia="仿宋" w:cs="仿宋"/>
          <w:color w:val="000000"/>
          <w:sz w:val="28"/>
          <w:szCs w:val="28"/>
        </w:rPr>
        <w:t>位于2#厂房南面半边的A、B、C、D、E喷涂生产线的配套环保工程进行技改，提高有机废气主要污染物的去除效率。具体包括：A、B、D线的PU喷涂废气改为水帘幕+布袋除尘器+中高效过滤器+沸石分子筛选转轮+RTO（蓄热氧化燃烧）处理，UV喷涂废气改为水帘幕+2级喷淋塔+干式过滤箱+TO（直接燃烧）处理；C、E线的PU喷涂废气采用水帘幕+干式过滤箱+沸石转轮+CO（催化氧化燃烧）处理，UV喷涂废气采用水帘幕+分离器+洗涤塔+干式过滤箱+活性炭吸附处理。</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（3）废水处理站提升改造</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由于新增废水处理需求，新建一座处理水量为1000m</w:t>
      </w:r>
      <w:r>
        <w:rPr>
          <w:rFonts w:hint="eastAsia" w:ascii="仿宋" w:hAnsi="仿宋" w:eastAsia="仿宋" w:cs="仿宋"/>
          <w:color w:val="000000"/>
          <w:sz w:val="28"/>
          <w:szCs w:val="28"/>
          <w:vertAlign w:val="superscript"/>
        </w:rPr>
        <w:t>3</w:t>
      </w:r>
      <w:r>
        <w:rPr>
          <w:rFonts w:hint="eastAsia" w:ascii="仿宋" w:hAnsi="仿宋" w:eastAsia="仿宋" w:cs="仿宋"/>
          <w:color w:val="000000"/>
          <w:sz w:val="28"/>
          <w:szCs w:val="28"/>
        </w:rPr>
        <w:t>/d的废水处理站，作为园区的废水处理配套工程。</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（4）公辅工程技改</w:t>
      </w:r>
    </w:p>
    <w:p>
      <w:pPr>
        <w:pStyle w:val="10"/>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1、无尘服清洗由委外清洗改为在园区内12#厂房新建一座洗衣房进行清洗；</w:t>
      </w:r>
    </w:p>
    <w:p>
      <w:pPr>
        <w:pStyle w:val="10"/>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2、新增一台400kw的备用柴油发电机，作为园区的应急公辅工程。</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（5）厂区平面布局调整</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color w:val="000000"/>
          <w:sz w:val="28"/>
          <w:szCs w:val="28"/>
        </w:rPr>
        <w:t>1、将原位于2#厂房</w:t>
      </w:r>
      <w:r>
        <w:rPr>
          <w:rFonts w:hint="eastAsia" w:ascii="仿宋" w:hAnsi="仿宋" w:eastAsia="仿宋" w:cs="仿宋"/>
          <w:sz w:val="28"/>
          <w:szCs w:val="28"/>
        </w:rPr>
        <w:t>北面半边的SMT工序移到3#厂房2F，并在2#厂房北边半边（原SMT工序设置处）建设物理实验室，用于产品检验；</w:t>
      </w:r>
    </w:p>
    <w:p>
      <w:pPr>
        <w:keepNext w:val="0"/>
        <w:keepLines w:val="0"/>
        <w:pageBreakBefore w:val="0"/>
        <w:widowControl w:val="0"/>
        <w:tabs>
          <w:tab w:val="left" w:pos="-55"/>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2、保留3#厂房2F的coating指纹模组的组装工序，将3#厂房3F、4F建设为侧边指纹识别模组的组装工序；</w:t>
      </w:r>
    </w:p>
    <w:p>
      <w:pPr>
        <w:keepNext w:val="0"/>
        <w:keepLines w:val="0"/>
        <w:pageBreakBefore w:val="0"/>
        <w:widowControl w:val="0"/>
        <w:tabs>
          <w:tab w:val="left" w:pos="0"/>
        </w:tabs>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3、在4#厂房1-3F新建员工食堂、在4#厂房5F新建一座FA实验室（主要用于检测电子元器件的性能）。</w:t>
      </w:r>
    </w:p>
    <w:p>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4、在3#厂房2F新增一间350m</w:t>
      </w:r>
      <w:r>
        <w:rPr>
          <w:rFonts w:hint="eastAsia" w:ascii="仿宋" w:hAnsi="仿宋" w:eastAsia="仿宋" w:cs="仿宋"/>
          <w:sz w:val="28"/>
          <w:szCs w:val="28"/>
          <w:vertAlign w:val="superscript"/>
        </w:rPr>
        <w:t>2</w:t>
      </w:r>
      <w:r>
        <w:rPr>
          <w:rFonts w:hint="eastAsia" w:ascii="仿宋" w:hAnsi="仿宋" w:eastAsia="仿宋" w:cs="仿宋"/>
          <w:sz w:val="28"/>
          <w:szCs w:val="28"/>
        </w:rPr>
        <w:t>的成品仓库，作为本项目的仓储工程。</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根据《中华人民共和国环境保护法》、《中华人民共和国突发事件应对法》、《国家突发环境事件应急预案》、《国务院办公厅关于印发突发事件应急预案管理办法的通知》、《企业事业单位突发环境事件应急预案备案管理办法（试行）》的有关规定，本单位应编制突然环境事件应急预案。编制技术人员进行了实地踏勘，对项目区及周边范围内开展环境风险评估和应急资源调查，在此基础上，编制</w:t>
      </w:r>
      <w:r>
        <w:rPr>
          <w:rFonts w:hint="eastAsia" w:ascii="仿宋" w:hAnsi="仿宋" w:eastAsia="仿宋" w:cs="仿宋"/>
          <w:sz w:val="28"/>
          <w:szCs w:val="28"/>
          <w:lang w:val="en-US" w:eastAsia="zh-CN"/>
        </w:rPr>
        <w:t>了</w:t>
      </w:r>
      <w:r>
        <w:rPr>
          <w:rFonts w:hint="eastAsia" w:ascii="仿宋" w:hAnsi="仿宋" w:eastAsia="仿宋" w:cs="仿宋"/>
          <w:sz w:val="28"/>
          <w:szCs w:val="28"/>
        </w:rPr>
        <w:t>公司突发环境事件应急预案。</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环境风险评估包括分析</w:t>
      </w:r>
      <w:r>
        <w:rPr>
          <w:rFonts w:hint="eastAsia" w:ascii="仿宋" w:hAnsi="仿宋" w:eastAsia="仿宋" w:cs="仿宋"/>
          <w:b w:val="0"/>
          <w:bCs w:val="0"/>
          <w:sz w:val="28"/>
          <w:szCs w:val="28"/>
          <w:lang w:val="en-US" w:eastAsia="zh-CN"/>
        </w:rPr>
        <w:t>乙醇泄漏造成的火灾及人身伤害、废水处理系统失效或故障造成的事故排放</w:t>
      </w:r>
      <w:r>
        <w:rPr>
          <w:rFonts w:hint="eastAsia" w:ascii="仿宋_GB2312" w:eastAsia="仿宋_GB2312"/>
          <w:b w:val="0"/>
          <w:bCs w:val="0"/>
          <w:sz w:val="28"/>
          <w:lang w:eastAsia="zh-CN"/>
        </w:rPr>
        <w:t>等环境风险</w:t>
      </w:r>
      <w:r>
        <w:rPr>
          <w:rFonts w:hint="eastAsia" w:ascii="仿宋_GB2312" w:eastAsia="仿宋_GB2312"/>
          <w:sz w:val="28"/>
        </w:rPr>
        <w:t>。</w:t>
      </w:r>
      <w:r>
        <w:rPr>
          <w:rFonts w:hint="eastAsia" w:ascii="仿宋" w:hAnsi="仿宋" w:eastAsia="仿宋" w:cs="仿宋"/>
          <w:sz w:val="28"/>
          <w:szCs w:val="28"/>
        </w:rPr>
        <w:t xml:space="preserve">事故衍化规律、自然灾害影响程度，识别环境危害因素，分析与周边可能受影响的居民、单位、区域环境的关系，构建突发环境事件及其后果情景，确定环境风险等级。应急资源调查包括调查企业第一时间可调用的环境应急队伍、装备、物资、场所等应急资源状况和可请求援助或协议援助的应急资源状况。 </w:t>
      </w:r>
    </w:p>
    <w:p>
      <w:pPr>
        <w:keepNext w:val="0"/>
        <w:keepLines w:val="0"/>
        <w:pageBreakBefore w:val="0"/>
        <w:widowControl w:val="0"/>
        <w:kinsoku/>
        <w:wordWrap/>
        <w:overflowPunct/>
        <w:topLinePunct w:val="0"/>
        <w:bidi w:val="0"/>
        <w:adjustRightInd w:val="0"/>
        <w:snapToGrid w:val="0"/>
        <w:spacing w:line="360" w:lineRule="auto"/>
        <w:ind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 xml:space="preserve">二、重点内容说明 </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江西欧迈斯微电子有限公司</w:t>
      </w:r>
      <w:r>
        <w:rPr>
          <w:rFonts w:hint="eastAsia" w:ascii="仿宋" w:hAnsi="仿宋" w:eastAsia="仿宋" w:cs="仿宋"/>
          <w:sz w:val="28"/>
          <w:szCs w:val="28"/>
        </w:rPr>
        <w:t>突发环境事件应急预案》内容包括编制预案采用的标准、适用范围、分级体系，项目区概况，危险源识别和环境应急能力评估，应急机构和职责，预防、预警及响应，现场处置，培训及演练，应急监测及保障等。重点对</w:t>
      </w:r>
      <w:r>
        <w:rPr>
          <w:rFonts w:hint="eastAsia" w:ascii="仿宋" w:hAnsi="仿宋" w:eastAsia="仿宋" w:cs="仿宋"/>
          <w:sz w:val="28"/>
          <w:szCs w:val="28"/>
          <w:lang w:eastAsia="zh-CN"/>
        </w:rPr>
        <w:t>机油、废机油、硫酸、硝酸、乙酸乙酯、丙酮、异丙醇、甲苯、二甲苯存储区域、</w:t>
      </w:r>
      <w:r>
        <w:rPr>
          <w:rFonts w:hint="eastAsia" w:ascii="仿宋" w:hAnsi="仿宋" w:eastAsia="仿宋" w:cs="仿宋"/>
          <w:sz w:val="28"/>
          <w:szCs w:val="28"/>
          <w:lang w:val="en-US" w:eastAsia="zh-CN"/>
        </w:rPr>
        <w:t>污水处理站</w:t>
      </w:r>
      <w:r>
        <w:rPr>
          <w:rFonts w:hint="eastAsia" w:ascii="仿宋" w:hAnsi="仿宋" w:eastAsia="仿宋" w:cs="仿宋"/>
          <w:sz w:val="28"/>
          <w:szCs w:val="28"/>
        </w:rPr>
        <w:t xml:space="preserve">等危险源识别、环境应急能力进行评估，以及突发环境事件情景下现场处置方案。 </w:t>
      </w:r>
    </w:p>
    <w:p>
      <w:pPr>
        <w:keepNext w:val="0"/>
        <w:keepLines w:val="0"/>
        <w:pageBreakBefore w:val="0"/>
        <w:widowControl w:val="0"/>
        <w:kinsoku/>
        <w:wordWrap/>
        <w:overflowPunct/>
        <w:topLinePunct w:val="0"/>
        <w:bidi w:val="0"/>
        <w:adjustRightInd w:val="0"/>
        <w:snapToGrid w:val="0"/>
        <w:spacing w:line="360" w:lineRule="auto"/>
        <w:ind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 xml:space="preserve">三、征求意见及采纳情况说明 </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在《</w:t>
      </w:r>
      <w:r>
        <w:rPr>
          <w:rFonts w:hint="eastAsia" w:ascii="仿宋" w:hAnsi="仿宋" w:eastAsia="仿宋" w:cs="仿宋"/>
          <w:sz w:val="28"/>
          <w:szCs w:val="28"/>
          <w:lang w:eastAsia="zh-CN"/>
        </w:rPr>
        <w:t>江西欧迈斯微电子有限公司</w:t>
      </w:r>
      <w:r>
        <w:rPr>
          <w:rFonts w:hint="eastAsia" w:ascii="仿宋" w:hAnsi="仿宋" w:eastAsia="仿宋" w:cs="仿宋"/>
          <w:sz w:val="28"/>
          <w:szCs w:val="28"/>
        </w:rPr>
        <w:t>突发环境事件应急预案》编制过程中征求了</w:t>
      </w:r>
      <w:r>
        <w:rPr>
          <w:rFonts w:hint="eastAsia" w:ascii="仿宋" w:hAnsi="仿宋" w:eastAsia="仿宋" w:cs="仿宋"/>
          <w:sz w:val="28"/>
          <w:szCs w:val="28"/>
          <w:lang w:val="en-US" w:eastAsia="zh-CN"/>
        </w:rPr>
        <w:t>总经理</w:t>
      </w:r>
      <w:r>
        <w:rPr>
          <w:rFonts w:hint="eastAsia" w:ascii="仿宋" w:hAnsi="仿宋" w:eastAsia="仿宋" w:cs="仿宋"/>
          <w:sz w:val="28"/>
          <w:szCs w:val="28"/>
        </w:rPr>
        <w:t>、</w:t>
      </w:r>
      <w:r>
        <w:rPr>
          <w:rFonts w:hint="eastAsia" w:ascii="仿宋" w:hAnsi="仿宋" w:eastAsia="仿宋" w:cs="仿宋"/>
          <w:sz w:val="28"/>
          <w:szCs w:val="28"/>
          <w:lang w:val="en-US" w:eastAsia="zh-CN"/>
        </w:rPr>
        <w:t>生技</w:t>
      </w:r>
      <w:r>
        <w:rPr>
          <w:rFonts w:hint="eastAsia" w:ascii="仿宋" w:hAnsi="仿宋" w:eastAsia="仿宋" w:cs="仿宋"/>
          <w:sz w:val="28"/>
          <w:szCs w:val="28"/>
        </w:rPr>
        <w:t>部、安环部、</w:t>
      </w:r>
      <w:r>
        <w:rPr>
          <w:rFonts w:hint="eastAsia" w:ascii="仿宋" w:hAnsi="仿宋" w:eastAsia="仿宋" w:cs="仿宋"/>
          <w:sz w:val="28"/>
          <w:szCs w:val="28"/>
          <w:lang w:val="en-US" w:eastAsia="zh-CN"/>
        </w:rPr>
        <w:t>综合</w:t>
      </w:r>
      <w:r>
        <w:rPr>
          <w:rFonts w:hint="eastAsia" w:ascii="仿宋" w:hAnsi="仿宋" w:eastAsia="仿宋" w:cs="仿宋"/>
          <w:sz w:val="28"/>
          <w:szCs w:val="28"/>
        </w:rPr>
        <w:t>部等部门领导和职工的意见，沟通后积极采纳了相关意见并进行修改</w:t>
      </w:r>
      <w:r>
        <w:rPr>
          <w:rFonts w:hint="eastAsia" w:ascii="仿宋" w:hAnsi="仿宋" w:eastAsia="仿宋" w:cs="仿宋"/>
          <w:sz w:val="28"/>
          <w:szCs w:val="28"/>
          <w:lang w:eastAsia="zh-CN"/>
        </w:rPr>
        <w:t>，</w:t>
      </w:r>
      <w:r>
        <w:rPr>
          <w:rFonts w:hint="eastAsia" w:ascii="仿宋" w:hAnsi="仿宋" w:eastAsia="仿宋" w:cs="仿宋"/>
          <w:sz w:val="28"/>
          <w:szCs w:val="28"/>
        </w:rPr>
        <w:t>同时征求了项目周边内可能收到影响的居民和单位的意见，主要针对突发环境事件发生时居民的联系、撤离等以及对周边环境的应急环境保护，对所有征求意见积极采纳并进行了完善。</w:t>
      </w:r>
    </w:p>
    <w:p>
      <w:pPr>
        <w:keepNext w:val="0"/>
        <w:keepLines w:val="0"/>
        <w:pageBreakBefore w:val="0"/>
        <w:widowControl w:val="0"/>
        <w:kinsoku/>
        <w:wordWrap/>
        <w:overflowPunct/>
        <w:topLinePunct w:val="0"/>
        <w:bidi w:val="0"/>
        <w:adjustRightInd w:val="0"/>
        <w:snapToGrid w:val="0"/>
        <w:spacing w:line="360" w:lineRule="auto"/>
        <w:ind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四、评审情况说明</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江西欧迈斯微电子有限公司</w:t>
      </w:r>
      <w:r>
        <w:rPr>
          <w:rFonts w:hint="eastAsia" w:ascii="仿宋" w:hAnsi="仿宋" w:eastAsia="仿宋" w:cs="仿宋"/>
          <w:sz w:val="28"/>
          <w:szCs w:val="28"/>
        </w:rPr>
        <w:t>突发环境事件应急预案》编制完成后组织了相关专家对应急预案进行了技术评估，并按照专家的评估意见进行了修改，使《</w:t>
      </w:r>
      <w:r>
        <w:rPr>
          <w:rFonts w:hint="eastAsia" w:ascii="仿宋" w:hAnsi="仿宋" w:eastAsia="仿宋" w:cs="仿宋"/>
          <w:sz w:val="28"/>
          <w:szCs w:val="28"/>
          <w:lang w:eastAsia="zh-CN"/>
        </w:rPr>
        <w:t>江西欧迈斯微电子有限公司</w:t>
      </w:r>
      <w:r>
        <w:rPr>
          <w:rFonts w:hint="eastAsia" w:ascii="仿宋" w:hAnsi="仿宋" w:eastAsia="仿宋" w:cs="仿宋"/>
          <w:sz w:val="28"/>
          <w:szCs w:val="28"/>
        </w:rPr>
        <w:t>突发环境事件应急预案》更加完善。在编制过程中，非常</w:t>
      </w:r>
      <w:r>
        <w:rPr>
          <w:rFonts w:hint="eastAsia" w:ascii="仿宋" w:hAnsi="仿宋" w:eastAsia="仿宋" w:cs="仿宋"/>
          <w:sz w:val="28"/>
          <w:szCs w:val="28"/>
          <w:lang w:eastAsia="zh-CN"/>
        </w:rPr>
        <w:t>感谢南昌市高新</w:t>
      </w:r>
      <w:r>
        <w:rPr>
          <w:rFonts w:hint="eastAsia" w:ascii="仿宋" w:hAnsi="仿宋" w:eastAsia="仿宋" w:cs="仿宋"/>
          <w:sz w:val="28"/>
          <w:szCs w:val="28"/>
          <w:lang w:val="en-US" w:eastAsia="zh-CN"/>
        </w:rPr>
        <w:t>管委会城市管理</w:t>
      </w:r>
      <w:r>
        <w:rPr>
          <w:rFonts w:hint="eastAsia" w:ascii="仿宋" w:hAnsi="仿宋" w:eastAsia="仿宋" w:cs="仿宋"/>
          <w:sz w:val="28"/>
          <w:szCs w:val="28"/>
          <w:lang w:eastAsia="zh-CN"/>
        </w:rPr>
        <w:t>局</w:t>
      </w:r>
      <w:r>
        <w:rPr>
          <w:rFonts w:hint="eastAsia" w:ascii="仿宋" w:hAnsi="仿宋" w:eastAsia="仿宋" w:cs="仿宋"/>
          <w:sz w:val="28"/>
          <w:szCs w:val="28"/>
        </w:rPr>
        <w:t>及相关专家、技术人员、</w:t>
      </w:r>
      <w:r>
        <w:rPr>
          <w:rFonts w:hint="eastAsia" w:ascii="仿宋" w:hAnsi="仿宋" w:eastAsia="仿宋" w:cs="仿宋"/>
          <w:sz w:val="28"/>
          <w:szCs w:val="28"/>
          <w:lang w:eastAsia="zh-CN"/>
        </w:rPr>
        <w:t>江西欧迈斯微电子有限公司</w:t>
      </w:r>
      <w:r>
        <w:rPr>
          <w:rFonts w:hint="eastAsia" w:ascii="仿宋" w:hAnsi="仿宋" w:eastAsia="仿宋" w:cs="仿宋"/>
          <w:sz w:val="28"/>
          <w:szCs w:val="28"/>
        </w:rPr>
        <w:t>职工的支持和帮助。</w:t>
      </w:r>
    </w:p>
    <w:bookmarkEnd w:id="0"/>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1A3616"/>
    <w:multiLevelType w:val="singleLevel"/>
    <w:tmpl w:val="A31A361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F16279"/>
    <w:rsid w:val="002E40B4"/>
    <w:rsid w:val="005A2F04"/>
    <w:rsid w:val="006677AA"/>
    <w:rsid w:val="02740FD0"/>
    <w:rsid w:val="036A345A"/>
    <w:rsid w:val="05D7642D"/>
    <w:rsid w:val="08521B71"/>
    <w:rsid w:val="10AA2BE2"/>
    <w:rsid w:val="12C76F9B"/>
    <w:rsid w:val="12E162B8"/>
    <w:rsid w:val="19896C66"/>
    <w:rsid w:val="1D015F64"/>
    <w:rsid w:val="208A1FF7"/>
    <w:rsid w:val="21360A60"/>
    <w:rsid w:val="220078C6"/>
    <w:rsid w:val="27E25577"/>
    <w:rsid w:val="2DFA2246"/>
    <w:rsid w:val="31635BC3"/>
    <w:rsid w:val="370A7B00"/>
    <w:rsid w:val="39775A29"/>
    <w:rsid w:val="3ED60C36"/>
    <w:rsid w:val="43F16279"/>
    <w:rsid w:val="47863DD5"/>
    <w:rsid w:val="482511CB"/>
    <w:rsid w:val="49040E2E"/>
    <w:rsid w:val="4D871F04"/>
    <w:rsid w:val="5E1579C7"/>
    <w:rsid w:val="652C72B3"/>
    <w:rsid w:val="66AC389D"/>
    <w:rsid w:val="674F3191"/>
    <w:rsid w:val="6B2F29FC"/>
    <w:rsid w:val="6FA6412D"/>
    <w:rsid w:val="74515F0C"/>
    <w:rsid w:val="76437399"/>
    <w:rsid w:val="7A316367"/>
    <w:rsid w:val="7BEF6482"/>
    <w:rsid w:val="7C4B4C27"/>
    <w:rsid w:val="7FCF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3">
    <w:name w:val="Body Text Indent"/>
    <w:basedOn w:val="1"/>
    <w:qFormat/>
    <w:uiPriority w:val="0"/>
    <w:pPr>
      <w:adjustRightInd w:val="0"/>
      <w:spacing w:line="480" w:lineRule="exact"/>
      <w:ind w:firstLine="480"/>
      <w:textAlignment w:val="baseline"/>
    </w:pPr>
    <w:rPr>
      <w:rFonts w:ascii="宋体" w:hAnsi="宋体"/>
      <w:kern w:val="0"/>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99"/>
    <w:pPr>
      <w:tabs>
        <w:tab w:val="left" w:pos="420"/>
        <w:tab w:val="left" w:pos="870"/>
        <w:tab w:val="left" w:pos="3150"/>
      </w:tabs>
      <w:autoSpaceDE w:val="0"/>
      <w:autoSpaceDN w:val="0"/>
      <w:spacing w:beforeLines="25" w:line="336" w:lineRule="auto"/>
      <w:ind w:firstLine="527"/>
    </w:pPr>
    <w:rPr>
      <w:sz w:val="24"/>
    </w:rPr>
  </w:style>
  <w:style w:type="paragraph" w:customStyle="1" w:styleId="9">
    <w:name w:val="【正文+】"/>
    <w:basedOn w:val="1"/>
    <w:qFormat/>
    <w:uiPriority w:val="0"/>
    <w:pPr>
      <w:spacing w:line="480" w:lineRule="exact"/>
      <w:ind w:firstLine="200" w:firstLineChars="200"/>
    </w:pPr>
    <w:rPr>
      <w:sz w:val="24"/>
      <w:szCs w:val="24"/>
    </w:rPr>
  </w:style>
  <w:style w:type="paragraph" w:customStyle="1" w:styleId="10">
    <w:name w:val="Default"/>
    <w:next w:val="6"/>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178</Words>
  <Characters>1015</Characters>
  <Lines>8</Lines>
  <Paragraphs>2</Paragraphs>
  <TotalTime>0</TotalTime>
  <ScaleCrop>false</ScaleCrop>
  <LinksUpToDate>false</LinksUpToDate>
  <CharactersWithSpaces>1191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2016-12-28T12:32:00Z</dcterms:created>
  <dc:creator>Administrator</dc:creator>
  <cp:lastModifiedBy>伟先</cp:lastModifiedBy>
  <dcterms:modified xsi:type="dcterms:W3CDTF">2020-12-29T11:13:58Z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